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BE" w:rsidRPr="00A470BE" w:rsidRDefault="00A470BE" w:rsidP="00462E71">
      <w:pPr>
        <w:spacing w:after="0" w:line="240" w:lineRule="auto"/>
        <w:ind w:left="720" w:hanging="720"/>
        <w:jc w:val="center"/>
        <w:rPr>
          <w:b/>
          <w:sz w:val="28"/>
          <w:szCs w:val="28"/>
        </w:rPr>
      </w:pPr>
      <w:bookmarkStart w:id="0" w:name="_GoBack"/>
      <w:bookmarkEnd w:id="0"/>
      <w:r>
        <w:tab/>
      </w:r>
      <w:r w:rsidRPr="00A470BE">
        <w:rPr>
          <w:b/>
          <w:sz w:val="28"/>
          <w:szCs w:val="28"/>
        </w:rPr>
        <w:t>Private Rights—Current Assessments</w:t>
      </w:r>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681871"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71" w:rsidRDefault="00681871">
      <w:pPr>
        <w:spacing w:after="0" w:line="240" w:lineRule="auto"/>
      </w:pPr>
      <w:r>
        <w:separator/>
      </w:r>
    </w:p>
  </w:endnote>
  <w:endnote w:type="continuationSeparator" w:id="0">
    <w:p w:rsidR="00681871" w:rsidRDefault="0068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681871">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71" w:rsidRDefault="00681871">
      <w:pPr>
        <w:spacing w:after="0" w:line="240" w:lineRule="auto"/>
      </w:pPr>
      <w:r>
        <w:separator/>
      </w:r>
    </w:p>
  </w:footnote>
  <w:footnote w:type="continuationSeparator" w:id="0">
    <w:p w:rsidR="00681871" w:rsidRDefault="00681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81" w:rsidRDefault="00F0765C" w:rsidP="00EC6E81">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2819400" cy="770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18" cy="778462"/>
                  </a:xfrm>
                  <a:prstGeom prst="rect">
                    <a:avLst/>
                  </a:prstGeom>
                  <a:noFill/>
                  <a:ln>
                    <a:noFill/>
                  </a:ln>
                </pic:spPr>
              </pic:pic>
            </a:graphicData>
          </a:graphic>
        </wp:inline>
      </w:drawing>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68187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31EEE"/>
    <w:rsid w:val="00082C8E"/>
    <w:rsid w:val="00096344"/>
    <w:rsid w:val="000C33AC"/>
    <w:rsid w:val="000E6277"/>
    <w:rsid w:val="00215727"/>
    <w:rsid w:val="00285563"/>
    <w:rsid w:val="002A607C"/>
    <w:rsid w:val="00305DBC"/>
    <w:rsid w:val="003B1890"/>
    <w:rsid w:val="003D3909"/>
    <w:rsid w:val="00416910"/>
    <w:rsid w:val="00462E71"/>
    <w:rsid w:val="004F3CBF"/>
    <w:rsid w:val="005A2512"/>
    <w:rsid w:val="005A4933"/>
    <w:rsid w:val="005C4AC4"/>
    <w:rsid w:val="00653118"/>
    <w:rsid w:val="00661346"/>
    <w:rsid w:val="00681871"/>
    <w:rsid w:val="00684A25"/>
    <w:rsid w:val="007E1621"/>
    <w:rsid w:val="00851803"/>
    <w:rsid w:val="008A607B"/>
    <w:rsid w:val="008C254F"/>
    <w:rsid w:val="00A470BE"/>
    <w:rsid w:val="00A74F7E"/>
    <w:rsid w:val="00B3143F"/>
    <w:rsid w:val="00B347DC"/>
    <w:rsid w:val="00BB33DC"/>
    <w:rsid w:val="00C03CAD"/>
    <w:rsid w:val="00D1418B"/>
    <w:rsid w:val="00D1607D"/>
    <w:rsid w:val="00D21F92"/>
    <w:rsid w:val="00D66A59"/>
    <w:rsid w:val="00D87EDF"/>
    <w:rsid w:val="00D95C2F"/>
    <w:rsid w:val="00D96897"/>
    <w:rsid w:val="00DD331D"/>
    <w:rsid w:val="00E249F9"/>
    <w:rsid w:val="00E25FAA"/>
    <w:rsid w:val="00E759AE"/>
    <w:rsid w:val="00E93E05"/>
    <w:rsid w:val="00EC6E81"/>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2016-01-06T19:38:00Z</dcterms:created>
  <dcterms:modified xsi:type="dcterms:W3CDTF">2016-01-06T19:38:00Z</dcterms:modified>
</cp:coreProperties>
</file>